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2798" w:rsidRDefault="006005D5" w:rsidP="00C42798">
      <w:pPr>
        <w:jc w:val="center"/>
        <w:rPr>
          <w:rFonts w:ascii="Cambria" w:hAnsi="Cambria"/>
          <w:sz w:val="32"/>
          <w:szCs w:val="32"/>
        </w:rPr>
      </w:pPr>
      <w:r w:rsidRPr="00C42798">
        <w:rPr>
          <w:rFonts w:ascii="Cambria" w:hAnsi="Cambria"/>
          <w:sz w:val="32"/>
          <w:szCs w:val="32"/>
        </w:rPr>
        <w:t>Editor’s Notes</w:t>
      </w:r>
    </w:p>
    <w:p w:rsidR="006005D5" w:rsidRDefault="006005D5" w:rsidP="00C42798">
      <w:pPr>
        <w:jc w:val="center"/>
        <w:rPr>
          <w:rFonts w:ascii="Cambria" w:hAnsi="Cambria"/>
          <w:sz w:val="32"/>
          <w:szCs w:val="32"/>
        </w:rPr>
      </w:pPr>
      <w:r w:rsidRPr="00C42798">
        <w:rPr>
          <w:rFonts w:ascii="Cambria" w:hAnsi="Cambria"/>
          <w:sz w:val="32"/>
          <w:szCs w:val="32"/>
        </w:rPr>
        <w:t>Volume 3 Addendum</w:t>
      </w:r>
    </w:p>
    <w:p w:rsidR="0030785E" w:rsidRPr="0030785E" w:rsidRDefault="0030785E" w:rsidP="00C42798">
      <w:pPr>
        <w:jc w:val="center"/>
        <w:rPr>
          <w:rFonts w:ascii="Cambria" w:hAnsi="Cambria"/>
          <w:sz w:val="24"/>
          <w:szCs w:val="32"/>
        </w:rPr>
      </w:pPr>
    </w:p>
    <w:p w:rsidR="00C42798" w:rsidRDefault="0030785E" w:rsidP="0030785E">
      <w:pPr>
        <w:jc w:val="center"/>
        <w:rPr>
          <w:rFonts w:ascii="Cambria" w:hAnsi="Cambria"/>
          <w:sz w:val="24"/>
        </w:rPr>
      </w:pPr>
      <w:r>
        <w:rPr>
          <w:rFonts w:ascii="Cambria" w:hAnsi="Cambria"/>
          <w:noProof/>
          <w:sz w:val="24"/>
        </w:rPr>
        <w:drawing>
          <wp:inline distT="0" distB="0" distL="0" distR="0">
            <wp:extent cx="2582545" cy="3189444"/>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ue Pill 3_300dpi_sc60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92113" cy="3201261"/>
                    </a:xfrm>
                    <a:prstGeom prst="rect">
                      <a:avLst/>
                    </a:prstGeom>
                  </pic:spPr>
                </pic:pic>
              </a:graphicData>
            </a:graphic>
          </wp:inline>
        </w:drawing>
      </w:r>
    </w:p>
    <w:p w:rsidR="0030785E" w:rsidRDefault="0030785E" w:rsidP="0030785E">
      <w:pPr>
        <w:jc w:val="center"/>
        <w:rPr>
          <w:rFonts w:ascii="Cambria" w:hAnsi="Cambria"/>
          <w:sz w:val="24"/>
        </w:rPr>
      </w:pPr>
    </w:p>
    <w:p w:rsidR="006005D5" w:rsidRPr="00C42798" w:rsidRDefault="006005D5">
      <w:pPr>
        <w:rPr>
          <w:rFonts w:ascii="Cambria" w:hAnsi="Cambria"/>
          <w:sz w:val="24"/>
        </w:rPr>
      </w:pPr>
      <w:r w:rsidRPr="00C42798">
        <w:rPr>
          <w:rFonts w:ascii="Cambria" w:hAnsi="Cambria"/>
          <w:sz w:val="24"/>
        </w:rPr>
        <w:t>As the year went by, Volume 3 became significantly populated, and so this addendum is necessary—as much as introducing these articles can be called “necessary”; the wise reader may opt to just jump into the articles themselves.</w:t>
      </w:r>
    </w:p>
    <w:p w:rsidR="006005D5" w:rsidRPr="00360789" w:rsidRDefault="006005D5">
      <w:pPr>
        <w:rPr>
          <w:rFonts w:ascii="Cambria" w:hAnsi="Cambria"/>
          <w:sz w:val="24"/>
        </w:rPr>
      </w:pPr>
      <w:bookmarkStart w:id="0" w:name="_GoBack"/>
      <w:r w:rsidRPr="00360789">
        <w:rPr>
          <w:rFonts w:ascii="Cambria" w:hAnsi="Cambria"/>
          <w:sz w:val="24"/>
        </w:rPr>
        <w:t>Continuing with our Yearly Theme, “Is Knowledge a Blessing or a Curse?” Thomas Vinci examines</w:t>
      </w:r>
      <w:r w:rsidR="00B2659D" w:rsidRPr="00360789">
        <w:rPr>
          <w:rFonts w:ascii="Cambria" w:hAnsi="Cambria"/>
          <w:sz w:val="24"/>
        </w:rPr>
        <w:t>, in “</w:t>
      </w:r>
      <w:hyperlink r:id="rId7" w:history="1">
        <w:r w:rsidR="00B2659D" w:rsidRPr="00360789">
          <w:rPr>
            <w:rStyle w:val="Hyperlink"/>
            <w:rFonts w:ascii="Cambria" w:hAnsi="Cambria"/>
            <w:b/>
            <w:sz w:val="24"/>
            <w:u w:val="none"/>
          </w:rPr>
          <w:t xml:space="preserve">Solving the </w:t>
        </w:r>
        <w:r w:rsidR="00B2659D" w:rsidRPr="00360789">
          <w:rPr>
            <w:rStyle w:val="Hyperlink"/>
            <w:rFonts w:ascii="Cambria" w:hAnsi="Cambria"/>
            <w:b/>
            <w:i/>
            <w:sz w:val="24"/>
            <w:u w:val="none"/>
          </w:rPr>
          <w:t xml:space="preserve">Contact </w:t>
        </w:r>
        <w:r w:rsidR="00B2659D" w:rsidRPr="00360789">
          <w:rPr>
            <w:rStyle w:val="Hyperlink"/>
            <w:rFonts w:ascii="Cambria" w:hAnsi="Cambria"/>
            <w:b/>
            <w:sz w:val="24"/>
            <w:u w:val="none"/>
          </w:rPr>
          <w:t>Paradox</w:t>
        </w:r>
        <w:r w:rsidR="00235BC2" w:rsidRPr="00360789">
          <w:rPr>
            <w:rStyle w:val="Hyperlink"/>
            <w:rFonts w:ascii="Cambria" w:hAnsi="Cambria"/>
            <w:b/>
            <w:sz w:val="24"/>
            <w:u w:val="none"/>
          </w:rPr>
          <w:t>: Rational Belief in the Teeth of the Evidence</w:t>
        </w:r>
      </w:hyperlink>
      <w:r w:rsidR="00B2659D" w:rsidRPr="00360789">
        <w:rPr>
          <w:rFonts w:ascii="Cambria" w:hAnsi="Cambria"/>
          <w:sz w:val="24"/>
        </w:rPr>
        <w:t>,”</w:t>
      </w:r>
      <w:r w:rsidRPr="00360789">
        <w:rPr>
          <w:rFonts w:ascii="Cambria" w:hAnsi="Cambria"/>
          <w:sz w:val="24"/>
        </w:rPr>
        <w:t xml:space="preserve"> the paradoxical situation in which Ellie, the protagonist of </w:t>
      </w:r>
      <w:r w:rsidRPr="00360789">
        <w:rPr>
          <w:rFonts w:ascii="Cambria" w:hAnsi="Cambria"/>
          <w:i/>
          <w:sz w:val="24"/>
        </w:rPr>
        <w:t>Contact</w:t>
      </w:r>
      <w:r w:rsidR="00B2659D" w:rsidRPr="00360789">
        <w:rPr>
          <w:rFonts w:ascii="Cambria" w:hAnsi="Cambria"/>
          <w:sz w:val="24"/>
        </w:rPr>
        <w:t>, finds herself. After the costly and controversial experimental capsule launches, Elli</w:t>
      </w:r>
      <w:r w:rsidR="00235BC2" w:rsidRPr="00360789">
        <w:rPr>
          <w:rFonts w:ascii="Cambria" w:hAnsi="Cambria"/>
          <w:sz w:val="24"/>
        </w:rPr>
        <w:t>e encounters a being claiming</w:t>
      </w:r>
      <w:r w:rsidR="00B2659D" w:rsidRPr="00360789">
        <w:rPr>
          <w:rFonts w:ascii="Cambria" w:hAnsi="Cambria"/>
          <w:sz w:val="24"/>
        </w:rPr>
        <w:t xml:space="preserve"> to be from an advanced civilization but externally look</w:t>
      </w:r>
      <w:r w:rsidR="00235BC2" w:rsidRPr="00360789">
        <w:rPr>
          <w:rFonts w:ascii="Cambria" w:hAnsi="Cambria"/>
          <w:sz w:val="24"/>
        </w:rPr>
        <w:t>ing</w:t>
      </w:r>
      <w:r w:rsidR="00B2659D" w:rsidRPr="00360789">
        <w:rPr>
          <w:rFonts w:ascii="Cambria" w:hAnsi="Cambria"/>
          <w:sz w:val="24"/>
        </w:rPr>
        <w:t xml:space="preserve"> like her father, who sends her back after a short conversation. When Ellie returns to Earth (if this is what has happened), she finds that no time has passed, and she is in possession of no empirical evidence from her travels. Unlike in the original novel, the problem is compounded by the fact that Ellie has traveled alone, with no companions to share experiences. Is Ellie’s belief in the reality of her encounter with an alien species “rational,” and if so, what does this say about </w:t>
      </w:r>
      <w:proofErr w:type="spellStart"/>
      <w:r w:rsidR="00B2659D" w:rsidRPr="00360789">
        <w:rPr>
          <w:rFonts w:ascii="Cambria" w:hAnsi="Cambria"/>
          <w:sz w:val="24"/>
        </w:rPr>
        <w:t>Evidentialism</w:t>
      </w:r>
      <w:proofErr w:type="spellEnd"/>
      <w:r w:rsidR="00B2659D" w:rsidRPr="00360789">
        <w:rPr>
          <w:rFonts w:ascii="Cambria" w:hAnsi="Cambria"/>
          <w:sz w:val="24"/>
        </w:rPr>
        <w:t>—the view that rational belief should be proportioned to one’s evidence? And about belief in God?</w:t>
      </w:r>
    </w:p>
    <w:p w:rsidR="00B2659D" w:rsidRPr="00360789" w:rsidRDefault="00235BC2">
      <w:pPr>
        <w:rPr>
          <w:rFonts w:ascii="Cambria" w:hAnsi="Cambria"/>
          <w:sz w:val="24"/>
        </w:rPr>
      </w:pPr>
      <w:r w:rsidRPr="00360789">
        <w:rPr>
          <w:rFonts w:ascii="Cambria" w:hAnsi="Cambria"/>
          <w:sz w:val="24"/>
        </w:rPr>
        <w:lastRenderedPageBreak/>
        <w:t xml:space="preserve">Can </w:t>
      </w:r>
      <w:proofErr w:type="spellStart"/>
      <w:r w:rsidRPr="00360789">
        <w:rPr>
          <w:rFonts w:ascii="Cambria" w:hAnsi="Cambria"/>
          <w:sz w:val="24"/>
        </w:rPr>
        <w:t>Koparan</w:t>
      </w:r>
      <w:proofErr w:type="spellEnd"/>
      <w:r w:rsidRPr="00360789">
        <w:rPr>
          <w:rFonts w:ascii="Cambria" w:hAnsi="Cambria"/>
          <w:sz w:val="24"/>
        </w:rPr>
        <w:t xml:space="preserve"> tak</w:t>
      </w:r>
      <w:r w:rsidR="00B2659D" w:rsidRPr="00360789">
        <w:rPr>
          <w:rFonts w:ascii="Cambria" w:hAnsi="Cambria"/>
          <w:sz w:val="24"/>
        </w:rPr>
        <w:t xml:space="preserve">es up another important epistemological </w:t>
      </w:r>
      <w:proofErr w:type="gramStart"/>
      <w:r w:rsidR="00B2659D" w:rsidRPr="00360789">
        <w:rPr>
          <w:rFonts w:ascii="Cambria" w:hAnsi="Cambria"/>
          <w:sz w:val="24"/>
        </w:rPr>
        <w:t>quandary, that</w:t>
      </w:r>
      <w:proofErr w:type="gramEnd"/>
      <w:r w:rsidR="00B2659D" w:rsidRPr="00360789">
        <w:rPr>
          <w:rFonts w:ascii="Cambria" w:hAnsi="Cambria"/>
          <w:sz w:val="24"/>
        </w:rPr>
        <w:t xml:space="preserve"> of the relationship between language, thought and reality, in this case focusing on the importance of language in political resistance. In “</w:t>
      </w:r>
      <w:hyperlink r:id="rId8" w:history="1">
        <w:r w:rsidR="009C0F2F" w:rsidRPr="00360789">
          <w:rPr>
            <w:rStyle w:val="Hyperlink"/>
            <w:rFonts w:ascii="Cambria" w:hAnsi="Cambria"/>
            <w:b/>
            <w:sz w:val="24"/>
            <w:u w:val="none"/>
          </w:rPr>
          <w:t>Subversion and the Sapir-Whorf Hypothesis in Contemporary Science Fiction</w:t>
        </w:r>
      </w:hyperlink>
      <w:r w:rsidR="009C0F2F" w:rsidRPr="00360789">
        <w:rPr>
          <w:rFonts w:ascii="Cambria" w:hAnsi="Cambria"/>
          <w:sz w:val="24"/>
        </w:rPr>
        <w:t xml:space="preserve">,” </w:t>
      </w:r>
      <w:proofErr w:type="spellStart"/>
      <w:r w:rsidR="009C0F2F" w:rsidRPr="00360789">
        <w:rPr>
          <w:rFonts w:ascii="Cambria" w:hAnsi="Cambria"/>
          <w:sz w:val="24"/>
        </w:rPr>
        <w:t>Koparan</w:t>
      </w:r>
      <w:proofErr w:type="spellEnd"/>
      <w:r w:rsidR="009C0F2F" w:rsidRPr="00360789">
        <w:rPr>
          <w:rFonts w:ascii="Cambria" w:hAnsi="Cambria"/>
          <w:sz w:val="24"/>
        </w:rPr>
        <w:t xml:space="preserve"> examines how resistance can be enacted in various forms of language-construction, in not one but </w:t>
      </w:r>
      <w:r w:rsidR="009C0F2F" w:rsidRPr="00360789">
        <w:rPr>
          <w:rFonts w:ascii="Cambria" w:hAnsi="Cambria"/>
          <w:i/>
          <w:sz w:val="24"/>
        </w:rPr>
        <w:t>three</w:t>
      </w:r>
      <w:r w:rsidR="009C0F2F" w:rsidRPr="00360789">
        <w:rPr>
          <w:rFonts w:ascii="Cambria" w:hAnsi="Cambria"/>
          <w:sz w:val="24"/>
        </w:rPr>
        <w:t xml:space="preserve"> important works of science fiction (Suzette Haden Elgin’s </w:t>
      </w:r>
      <w:r w:rsidR="009C0F2F" w:rsidRPr="00360789">
        <w:rPr>
          <w:rFonts w:ascii="Cambria" w:hAnsi="Cambria"/>
          <w:i/>
          <w:sz w:val="24"/>
        </w:rPr>
        <w:t>Native Tongue,</w:t>
      </w:r>
      <w:r w:rsidR="009C0F2F" w:rsidRPr="00360789">
        <w:rPr>
          <w:rFonts w:ascii="Cambria" w:hAnsi="Cambria"/>
          <w:sz w:val="24"/>
        </w:rPr>
        <w:t xml:space="preserve"> 1984, Neal Stephenson’s </w:t>
      </w:r>
      <w:r w:rsidR="009C0F2F" w:rsidRPr="00360789">
        <w:rPr>
          <w:rFonts w:ascii="Cambria" w:hAnsi="Cambria"/>
          <w:i/>
          <w:sz w:val="24"/>
        </w:rPr>
        <w:t>Snow Crash</w:t>
      </w:r>
      <w:r w:rsidR="009C0F2F" w:rsidRPr="00360789">
        <w:rPr>
          <w:rFonts w:ascii="Cambria" w:hAnsi="Cambria"/>
          <w:sz w:val="24"/>
        </w:rPr>
        <w:t xml:space="preserve"> 1992, and China Miéville’s 2011 </w:t>
      </w:r>
      <w:proofErr w:type="spellStart"/>
      <w:r w:rsidR="009C0F2F" w:rsidRPr="00360789">
        <w:rPr>
          <w:rFonts w:ascii="Cambria" w:hAnsi="Cambria"/>
          <w:i/>
          <w:sz w:val="24"/>
        </w:rPr>
        <w:t>Embassytown</w:t>
      </w:r>
      <w:proofErr w:type="spellEnd"/>
      <w:r w:rsidR="00F471A6" w:rsidRPr="00360789">
        <w:rPr>
          <w:rFonts w:ascii="Cambria" w:hAnsi="Cambria"/>
          <w:sz w:val="24"/>
        </w:rPr>
        <w:t>)</w:t>
      </w:r>
      <w:r w:rsidR="009C0F2F" w:rsidRPr="00360789">
        <w:rPr>
          <w:rFonts w:ascii="Cambria" w:hAnsi="Cambria"/>
          <w:sz w:val="24"/>
        </w:rPr>
        <w:t>. It is an article bound to make one’s reading list even longer.</w:t>
      </w:r>
    </w:p>
    <w:p w:rsidR="009C0F2F" w:rsidRPr="00360789" w:rsidRDefault="009C0F2F">
      <w:pPr>
        <w:rPr>
          <w:rFonts w:ascii="Cambria" w:hAnsi="Cambria"/>
          <w:sz w:val="24"/>
        </w:rPr>
      </w:pPr>
      <w:r w:rsidRPr="00360789">
        <w:rPr>
          <w:rFonts w:ascii="Cambria" w:hAnsi="Cambria"/>
          <w:sz w:val="24"/>
        </w:rPr>
        <w:t xml:space="preserve">This volume’s General Articles section continues exploring the philosophy of the extremely influential Ursula K. Le Guin, with Ethan </w:t>
      </w:r>
      <w:proofErr w:type="spellStart"/>
      <w:r w:rsidRPr="00360789">
        <w:rPr>
          <w:rFonts w:ascii="Cambria" w:hAnsi="Cambria"/>
          <w:sz w:val="24"/>
        </w:rPr>
        <w:t>Mills’</w:t>
      </w:r>
      <w:r w:rsidR="00F471A6" w:rsidRPr="00360789">
        <w:rPr>
          <w:rFonts w:ascii="Cambria" w:hAnsi="Cambria"/>
          <w:sz w:val="24"/>
        </w:rPr>
        <w:t>s</w:t>
      </w:r>
      <w:proofErr w:type="spellEnd"/>
      <w:r w:rsidRPr="00360789">
        <w:rPr>
          <w:rFonts w:ascii="Cambria" w:hAnsi="Cambria"/>
          <w:sz w:val="24"/>
        </w:rPr>
        <w:t xml:space="preserve"> “</w:t>
      </w:r>
      <w:hyperlink r:id="rId9" w:history="1">
        <w:r w:rsidRPr="00360789">
          <w:rPr>
            <w:rStyle w:val="Hyperlink"/>
            <w:rFonts w:ascii="Cambria" w:hAnsi="Cambria"/>
            <w:b/>
            <w:sz w:val="24"/>
            <w:u w:val="none"/>
          </w:rPr>
          <w:t>Ursula K. Le Guin Science Fictional Feminist Daoism</w:t>
        </w:r>
      </w:hyperlink>
      <w:r w:rsidRPr="00360789">
        <w:rPr>
          <w:rFonts w:ascii="Cambria" w:hAnsi="Cambria"/>
          <w:sz w:val="24"/>
        </w:rPr>
        <w:t xml:space="preserve">.” </w:t>
      </w:r>
      <w:proofErr w:type="spellStart"/>
      <w:r w:rsidRPr="00360789">
        <w:rPr>
          <w:rFonts w:ascii="Cambria" w:hAnsi="Cambria"/>
          <w:sz w:val="24"/>
        </w:rPr>
        <w:t>Mills</w:t>
      </w:r>
      <w:r w:rsidR="00F471A6" w:rsidRPr="00360789">
        <w:rPr>
          <w:rFonts w:ascii="Cambria" w:hAnsi="Cambria"/>
          <w:sz w:val="24"/>
        </w:rPr>
        <w:t>’s</w:t>
      </w:r>
      <w:proofErr w:type="spellEnd"/>
      <w:r w:rsidRPr="00360789">
        <w:rPr>
          <w:rFonts w:ascii="Cambria" w:hAnsi="Cambria"/>
          <w:sz w:val="24"/>
        </w:rPr>
        <w:t xml:space="preserve"> article, spanning many of Le Guin’s most renowned works, endeavors to frame </w:t>
      </w:r>
      <w:r w:rsidR="004B376B" w:rsidRPr="00360789">
        <w:rPr>
          <w:rFonts w:ascii="Cambria" w:hAnsi="Cambria"/>
          <w:sz w:val="24"/>
        </w:rPr>
        <w:t xml:space="preserve">an important aspect of her underlying philosophy, her Daoist ideas. Le Guin (who produced a translation of the </w:t>
      </w:r>
      <w:r w:rsidR="004B376B" w:rsidRPr="00360789">
        <w:rPr>
          <w:rFonts w:ascii="Cambria" w:hAnsi="Cambria"/>
          <w:i/>
          <w:sz w:val="24"/>
        </w:rPr>
        <w:t>Dao De Jing</w:t>
      </w:r>
      <w:r w:rsidR="004B376B" w:rsidRPr="00360789">
        <w:rPr>
          <w:rFonts w:ascii="Cambria" w:hAnsi="Cambria"/>
          <w:sz w:val="24"/>
        </w:rPr>
        <w:t>), has been sometimes criticized for misappropriating or misrepresenting Daoist philosophy; but this criticism, argues Mills, comes from a misunderstanding: Le Guin is not trying to accurately present Daoism in the manner of a scholar; rather, her works express her own philosophical development of these ideas, particularly in the context of modern feminism and modern anarchism, reimagining Daoism as an artist and philosopher in her own right.</w:t>
      </w:r>
    </w:p>
    <w:p w:rsidR="004B376B" w:rsidRPr="00360789" w:rsidRDefault="004B376B">
      <w:pPr>
        <w:rPr>
          <w:rFonts w:ascii="Cambria" w:hAnsi="Cambria"/>
          <w:sz w:val="24"/>
        </w:rPr>
      </w:pPr>
      <w:r w:rsidRPr="00360789">
        <w:rPr>
          <w:rFonts w:ascii="Cambria" w:hAnsi="Cambria"/>
          <w:sz w:val="24"/>
        </w:rPr>
        <w:t xml:space="preserve">Volume 3 ends with a series of thoughtful book reviews. The prolific Stefano </w:t>
      </w:r>
      <w:proofErr w:type="spellStart"/>
      <w:r w:rsidRPr="00360789">
        <w:rPr>
          <w:rFonts w:ascii="Cambria" w:hAnsi="Cambria"/>
          <w:sz w:val="24"/>
        </w:rPr>
        <w:t>Bigliardi</w:t>
      </w:r>
      <w:proofErr w:type="spellEnd"/>
      <w:r w:rsidRPr="00360789">
        <w:rPr>
          <w:rFonts w:ascii="Cambria" w:hAnsi="Cambria"/>
          <w:sz w:val="24"/>
        </w:rPr>
        <w:t xml:space="preserve"> has surveyed Open Court’s </w:t>
      </w:r>
      <w:hyperlink r:id="rId10" w:history="1">
        <w:r w:rsidRPr="00360789">
          <w:rPr>
            <w:rStyle w:val="Hyperlink"/>
            <w:rFonts w:ascii="Cambria" w:hAnsi="Cambria"/>
            <w:b/>
            <w:i/>
            <w:sz w:val="24"/>
            <w:u w:val="none"/>
          </w:rPr>
          <w:t>Planet of the Apes and Philosophy: Great Apes Think Alike</w:t>
        </w:r>
      </w:hyperlink>
      <w:r w:rsidRPr="00360789">
        <w:rPr>
          <w:rFonts w:ascii="Cambria" w:hAnsi="Cambria"/>
          <w:sz w:val="24"/>
        </w:rPr>
        <w:t xml:space="preserve">, and the first and second editions of </w:t>
      </w:r>
      <w:hyperlink r:id="rId11" w:history="1">
        <w:r w:rsidRPr="00360789">
          <w:rPr>
            <w:rStyle w:val="Hyperlink"/>
            <w:rFonts w:ascii="Cambria" w:hAnsi="Cambria"/>
            <w:b/>
            <w:i/>
            <w:sz w:val="24"/>
            <w:u w:val="none"/>
          </w:rPr>
          <w:t>Science Fiction and Philosophy: From Time Travel to Superintelligence</w:t>
        </w:r>
      </w:hyperlink>
      <w:r w:rsidR="00C42798" w:rsidRPr="00360789">
        <w:rPr>
          <w:rFonts w:ascii="Cambria" w:hAnsi="Cambria"/>
          <w:sz w:val="24"/>
        </w:rPr>
        <w:t>, a rich collection of essays edited by Susan Schneider, while Brittany Caroline Speller review</w:t>
      </w:r>
      <w:r w:rsidR="00F471A6" w:rsidRPr="00360789">
        <w:rPr>
          <w:rFonts w:ascii="Cambria" w:hAnsi="Cambria"/>
          <w:sz w:val="24"/>
        </w:rPr>
        <w:t>s</w:t>
      </w:r>
      <w:r w:rsidR="00C42798" w:rsidRPr="00360789">
        <w:rPr>
          <w:rFonts w:ascii="Cambria" w:hAnsi="Cambria"/>
          <w:sz w:val="24"/>
        </w:rPr>
        <w:t xml:space="preserve"> </w:t>
      </w:r>
      <w:hyperlink r:id="rId12" w:history="1">
        <w:r w:rsidR="00C42798" w:rsidRPr="00360789">
          <w:rPr>
            <w:rStyle w:val="Hyperlink"/>
            <w:rFonts w:ascii="Cambria" w:hAnsi="Cambria"/>
            <w:b/>
            <w:i/>
            <w:sz w:val="24"/>
            <w:u w:val="none"/>
          </w:rPr>
          <w:t xml:space="preserve">Dune and Philosophy: Weirding the Way of the </w:t>
        </w:r>
        <w:proofErr w:type="spellStart"/>
        <w:r w:rsidR="00C42798" w:rsidRPr="00360789">
          <w:rPr>
            <w:rStyle w:val="Hyperlink"/>
            <w:rFonts w:ascii="Cambria" w:hAnsi="Cambria"/>
            <w:b/>
            <w:i/>
            <w:sz w:val="24"/>
            <w:u w:val="none"/>
          </w:rPr>
          <w:t>Mentat</w:t>
        </w:r>
        <w:proofErr w:type="spellEnd"/>
      </w:hyperlink>
      <w:r w:rsidR="00C42798" w:rsidRPr="00360789">
        <w:rPr>
          <w:rFonts w:ascii="Cambria" w:hAnsi="Cambria"/>
          <w:sz w:val="24"/>
        </w:rPr>
        <w:t xml:space="preserve">, a timely entry, as a new cinematic version of </w:t>
      </w:r>
      <w:r w:rsidR="00C42798" w:rsidRPr="00360789">
        <w:rPr>
          <w:rFonts w:ascii="Cambria" w:hAnsi="Cambria"/>
          <w:i/>
          <w:sz w:val="24"/>
        </w:rPr>
        <w:t xml:space="preserve">Dune </w:t>
      </w:r>
      <w:r w:rsidR="00C42798" w:rsidRPr="00360789">
        <w:rPr>
          <w:rFonts w:ascii="Cambria" w:hAnsi="Cambria"/>
          <w:sz w:val="24"/>
        </w:rPr>
        <w:t>is now in the works.</w:t>
      </w:r>
    </w:p>
    <w:bookmarkEnd w:id="0"/>
    <w:p w:rsidR="00C42798" w:rsidRPr="00C42798" w:rsidRDefault="00C42798">
      <w:pPr>
        <w:rPr>
          <w:rFonts w:ascii="Cambria" w:hAnsi="Cambria"/>
          <w:sz w:val="24"/>
        </w:rPr>
      </w:pPr>
      <w:r w:rsidRPr="00C42798">
        <w:rPr>
          <w:rFonts w:ascii="Cambria" w:hAnsi="Cambria"/>
          <w:sz w:val="24"/>
        </w:rPr>
        <w:t>We hope you have a few articles worth reading and mind-opening. Enjoy!</w:t>
      </w:r>
    </w:p>
    <w:p w:rsidR="0030785E" w:rsidRDefault="0030785E" w:rsidP="00C42798">
      <w:pPr>
        <w:jc w:val="right"/>
        <w:rPr>
          <w:rFonts w:ascii="Cambria" w:hAnsi="Cambria"/>
          <w:sz w:val="24"/>
        </w:rPr>
      </w:pPr>
    </w:p>
    <w:p w:rsidR="00C42798" w:rsidRPr="00C42798" w:rsidRDefault="00C42798" w:rsidP="00C42798">
      <w:pPr>
        <w:jc w:val="right"/>
        <w:rPr>
          <w:rFonts w:ascii="Cambria" w:hAnsi="Cambria"/>
          <w:sz w:val="24"/>
        </w:rPr>
      </w:pPr>
      <w:r w:rsidRPr="00C42798">
        <w:rPr>
          <w:rFonts w:ascii="Cambria" w:hAnsi="Cambria"/>
          <w:sz w:val="24"/>
        </w:rPr>
        <w:t>Alfredo Mac Laughlin</w:t>
      </w:r>
    </w:p>
    <w:p w:rsidR="00C42798" w:rsidRPr="00C42798" w:rsidRDefault="00C42798" w:rsidP="00C42798">
      <w:pPr>
        <w:jc w:val="right"/>
        <w:rPr>
          <w:rFonts w:ascii="Cambria" w:hAnsi="Cambria"/>
          <w:sz w:val="24"/>
        </w:rPr>
      </w:pPr>
      <w:r w:rsidRPr="00C42798">
        <w:rPr>
          <w:rFonts w:ascii="Cambria" w:hAnsi="Cambria"/>
          <w:sz w:val="24"/>
        </w:rPr>
        <w:t>Editor, JSFP</w:t>
      </w:r>
    </w:p>
    <w:p w:rsidR="00C42798" w:rsidRDefault="00C42798" w:rsidP="00C42798">
      <w:pPr>
        <w:jc w:val="right"/>
      </w:pPr>
    </w:p>
    <w:p w:rsidR="00C42798" w:rsidRPr="00213918" w:rsidRDefault="00C42798" w:rsidP="00C42798">
      <w:pPr>
        <w:jc w:val="center"/>
      </w:pPr>
      <w:r>
        <w:rPr>
          <w:rFonts w:ascii="Times New Roman" w:hAnsi="Times New Roman"/>
          <w:noProof/>
        </w:rPr>
        <w:drawing>
          <wp:inline distT="0" distB="0" distL="0" distR="0" wp14:anchorId="2DB63E57" wp14:editId="43824D46">
            <wp:extent cx="472191" cy="47219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sfp trasparent-02.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2289" cy="492289"/>
                    </a:xfrm>
                    <a:prstGeom prst="rect">
                      <a:avLst/>
                    </a:prstGeom>
                  </pic:spPr>
                </pic:pic>
              </a:graphicData>
            </a:graphic>
          </wp:inline>
        </w:drawing>
      </w:r>
    </w:p>
    <w:p w:rsidR="00C42798" w:rsidRPr="00C42798" w:rsidRDefault="00C42798"/>
    <w:sectPr w:rsidR="00C42798" w:rsidRPr="00C42798" w:rsidSect="00C42798">
      <w:footerReference w:type="defaul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5D07" w:rsidRDefault="00145D07" w:rsidP="00C42798">
      <w:pPr>
        <w:spacing w:after="0" w:line="240" w:lineRule="auto"/>
      </w:pPr>
      <w:r>
        <w:separator/>
      </w:r>
    </w:p>
  </w:endnote>
  <w:endnote w:type="continuationSeparator" w:id="0">
    <w:p w:rsidR="00145D07" w:rsidRDefault="00145D07" w:rsidP="00C42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 ESSENCE">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798" w:rsidRPr="005821C5" w:rsidRDefault="00C42798" w:rsidP="00C42798">
    <w:pPr>
      <w:pStyle w:val="Footer"/>
      <w:rPr>
        <w:i/>
        <w:sz w:val="18"/>
        <w:szCs w:val="18"/>
      </w:rPr>
    </w:pPr>
    <w:r w:rsidRPr="005821C5">
      <w:rPr>
        <w:rFonts w:ascii="AR ESSENCE" w:hAnsi="AR ESSENCE"/>
        <w:sz w:val="18"/>
        <w:szCs w:val="18"/>
      </w:rPr>
      <w:t>J</w:t>
    </w:r>
    <w:r w:rsidRPr="005821C5">
      <w:rPr>
        <w:sz w:val="18"/>
        <w:szCs w:val="18"/>
      </w:rPr>
      <w:t xml:space="preserve">ournal of </w:t>
    </w:r>
    <w:r w:rsidRPr="005821C5">
      <w:rPr>
        <w:rFonts w:ascii="AR ESSENCE" w:hAnsi="AR ESSENCE"/>
        <w:sz w:val="18"/>
        <w:szCs w:val="18"/>
      </w:rPr>
      <w:t>S</w:t>
    </w:r>
    <w:r w:rsidRPr="005821C5">
      <w:rPr>
        <w:sz w:val="18"/>
        <w:szCs w:val="18"/>
      </w:rPr>
      <w:t xml:space="preserve">cience </w:t>
    </w:r>
    <w:r w:rsidRPr="005821C5">
      <w:rPr>
        <w:rFonts w:ascii="AR ESSENCE" w:hAnsi="AR ESSENCE"/>
        <w:sz w:val="18"/>
        <w:szCs w:val="18"/>
      </w:rPr>
      <w:t>F</w:t>
    </w:r>
    <w:r w:rsidRPr="005821C5">
      <w:rPr>
        <w:sz w:val="18"/>
        <w:szCs w:val="18"/>
      </w:rPr>
      <w:t xml:space="preserve">iction and </w:t>
    </w:r>
    <w:r w:rsidRPr="005821C5">
      <w:rPr>
        <w:rFonts w:ascii="AR ESSENCE" w:hAnsi="AR ESSENCE"/>
        <w:sz w:val="18"/>
        <w:szCs w:val="18"/>
      </w:rPr>
      <w:t>P</w:t>
    </w:r>
    <w:r w:rsidRPr="005821C5">
      <w:rPr>
        <w:sz w:val="18"/>
        <w:szCs w:val="18"/>
      </w:rPr>
      <w:t>hilosophy</w:t>
    </w:r>
    <w:r w:rsidRPr="005821C5">
      <w:rPr>
        <w:i/>
        <w:sz w:val="18"/>
        <w:szCs w:val="18"/>
      </w:rPr>
      <w:tab/>
    </w:r>
    <w:r w:rsidRPr="005821C5">
      <w:rPr>
        <w:i/>
        <w:sz w:val="18"/>
        <w:szCs w:val="18"/>
      </w:rPr>
      <w:tab/>
    </w:r>
    <w:r>
      <w:rPr>
        <w:sz w:val="18"/>
        <w:szCs w:val="18"/>
      </w:rPr>
      <w:t>Vol. 3: 2020</w:t>
    </w:r>
  </w:p>
  <w:p w:rsidR="00C42798" w:rsidRPr="005821C5" w:rsidRDefault="00C42798" w:rsidP="00C42798">
    <w:pPr>
      <w:pStyle w:val="Footer"/>
      <w:jc w:val="center"/>
      <w:rPr>
        <w:sz w:val="20"/>
        <w:szCs w:val="20"/>
      </w:rPr>
    </w:pPr>
  </w:p>
  <w:p w:rsidR="00C42798" w:rsidRPr="00C42798" w:rsidRDefault="00C42798" w:rsidP="00C42798">
    <w:pPr>
      <w:pStyle w:val="Journal-Pagenumber"/>
      <w:ind w:firstLine="0"/>
    </w:pPr>
    <w:r w:rsidRPr="005821C5">
      <w:fldChar w:fldCharType="begin"/>
    </w:r>
    <w:r w:rsidRPr="005821C5">
      <w:instrText xml:space="preserve"> PAGE   \* MERGEFORMAT </w:instrText>
    </w:r>
    <w:r w:rsidRPr="005821C5">
      <w:fldChar w:fldCharType="separate"/>
    </w:r>
    <w:r w:rsidR="00360789">
      <w:rPr>
        <w:noProof/>
      </w:rPr>
      <w:t>2</w:t>
    </w:r>
    <w:r w:rsidRPr="005821C5">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798" w:rsidRDefault="00C42798" w:rsidP="00C42798">
    <w:pPr>
      <w:pStyle w:val="Journal-Footer1"/>
      <w:spacing w:after="0"/>
      <w:ind w:firstLine="0"/>
      <w:rPr>
        <w:i/>
      </w:rPr>
    </w:pPr>
  </w:p>
  <w:p w:rsidR="00C42798" w:rsidRPr="005821C5" w:rsidRDefault="00C42798" w:rsidP="00C42798">
    <w:pPr>
      <w:pStyle w:val="Journal-Footer1"/>
      <w:spacing w:after="0"/>
      <w:ind w:firstLine="0"/>
    </w:pPr>
    <w:r w:rsidRPr="005821C5">
      <w:rPr>
        <w:i/>
      </w:rPr>
      <w:t>Journal of Science Fiction and Philosophy</w:t>
    </w:r>
    <w:r>
      <w:t xml:space="preserve"> vol.3</w:t>
    </w:r>
    <w:r w:rsidRPr="005821C5">
      <w:t xml:space="preserve"> (20</w:t>
    </w:r>
    <w:r>
      <w:t>20</w:t>
    </w:r>
    <w:r w:rsidRPr="005821C5">
      <w:t>)</w:t>
    </w:r>
  </w:p>
  <w:p w:rsidR="00C42798" w:rsidRPr="005821C5" w:rsidRDefault="00C42798" w:rsidP="00C42798">
    <w:pPr>
      <w:pStyle w:val="Journal-Footer1"/>
      <w:spacing w:after="0"/>
      <w:ind w:firstLine="0"/>
    </w:pPr>
    <w:r w:rsidRPr="005821C5">
      <w:t xml:space="preserve">© 2018 by Alfredo Mac Laughlin. </w:t>
    </w:r>
    <w:r>
      <w:t xml:space="preserve">ISSN </w:t>
    </w:r>
    <w:r w:rsidRPr="005821C5">
      <w:t>2573-881X</w:t>
    </w:r>
  </w:p>
  <w:p w:rsidR="00C42798" w:rsidRPr="005821C5" w:rsidRDefault="00C42798" w:rsidP="00C42798">
    <w:pPr>
      <w:pStyle w:val="Journal-Footer1"/>
      <w:spacing w:after="0"/>
      <w:ind w:firstLine="0"/>
    </w:pPr>
    <w:r w:rsidRPr="005821C5">
      <w:t>This article © 20</w:t>
    </w:r>
    <w:r>
      <w:t>23</w:t>
    </w:r>
    <w:r w:rsidRPr="005821C5">
      <w:t xml:space="preserve"> by </w:t>
    </w:r>
    <w:r>
      <w:t>Alfredo Mac Laughlin</w:t>
    </w:r>
    <w:r w:rsidRPr="005821C5">
      <w:t>.</w:t>
    </w:r>
    <w:r>
      <w:t xml:space="preserve"> Published 2023 June 6 as an addendum to Volume 3 (2020).</w:t>
    </w:r>
  </w:p>
  <w:p w:rsidR="00C42798" w:rsidRDefault="00C42798" w:rsidP="00C42798">
    <w:pPr>
      <w:pStyle w:val="Journal-Footer1"/>
      <w:spacing w:after="0"/>
      <w:ind w:firstLine="0"/>
    </w:pPr>
    <w:r w:rsidRPr="005821C5">
      <w:t xml:space="preserve">Original publication under a CC-BY-NC License by the </w:t>
    </w:r>
    <w:r w:rsidRPr="005821C5">
      <w:rPr>
        <w:i/>
      </w:rPr>
      <w:t>Journal of Science Fiction and Philosophy</w:t>
    </w:r>
    <w:r w:rsidRPr="005821C5">
      <w:t>.</w:t>
    </w:r>
  </w:p>
  <w:p w:rsidR="00C42798" w:rsidRDefault="00C427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5D07" w:rsidRDefault="00145D07" w:rsidP="00C42798">
      <w:pPr>
        <w:spacing w:after="0" w:line="240" w:lineRule="auto"/>
      </w:pPr>
      <w:r>
        <w:separator/>
      </w:r>
    </w:p>
  </w:footnote>
  <w:footnote w:type="continuationSeparator" w:id="0">
    <w:p w:rsidR="00145D07" w:rsidRDefault="00145D07" w:rsidP="00C427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5D5"/>
    <w:rsid w:val="00145D07"/>
    <w:rsid w:val="001E343C"/>
    <w:rsid w:val="00235BC2"/>
    <w:rsid w:val="0030785E"/>
    <w:rsid w:val="00360789"/>
    <w:rsid w:val="004B376B"/>
    <w:rsid w:val="006005D5"/>
    <w:rsid w:val="00904C64"/>
    <w:rsid w:val="009C0F2F"/>
    <w:rsid w:val="009F2950"/>
    <w:rsid w:val="00B2659D"/>
    <w:rsid w:val="00C42798"/>
    <w:rsid w:val="00C8150B"/>
    <w:rsid w:val="00C821F1"/>
    <w:rsid w:val="00D36A19"/>
    <w:rsid w:val="00D517C3"/>
    <w:rsid w:val="00F471A6"/>
    <w:rsid w:val="00F7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A90162-8E3B-4658-B6DD-C18258276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27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798"/>
  </w:style>
  <w:style w:type="paragraph" w:styleId="Footer">
    <w:name w:val="footer"/>
    <w:basedOn w:val="Normal"/>
    <w:link w:val="FooterChar"/>
    <w:uiPriority w:val="99"/>
    <w:unhideWhenUsed/>
    <w:rsid w:val="00C427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798"/>
  </w:style>
  <w:style w:type="paragraph" w:customStyle="1" w:styleId="Journal-Footer1">
    <w:name w:val="Journal-Footer 1"/>
    <w:basedOn w:val="Normal"/>
    <w:qFormat/>
    <w:rsid w:val="00C42798"/>
    <w:pPr>
      <w:spacing w:after="120" w:line="240" w:lineRule="auto"/>
      <w:ind w:firstLine="720"/>
    </w:pPr>
    <w:rPr>
      <w:rFonts w:ascii="Cambria" w:hAnsi="Cambria" w:cs="Times New Roman"/>
      <w:sz w:val="18"/>
      <w:szCs w:val="24"/>
    </w:rPr>
  </w:style>
  <w:style w:type="paragraph" w:customStyle="1" w:styleId="Journal-Pagenumber">
    <w:name w:val="Journal-Page number"/>
    <w:basedOn w:val="Footer"/>
    <w:qFormat/>
    <w:rsid w:val="00C42798"/>
    <w:pPr>
      <w:ind w:firstLine="720"/>
      <w:jc w:val="center"/>
    </w:pPr>
    <w:rPr>
      <w:rFonts w:ascii="Cambria" w:hAnsi="Cambria" w:cs="Times New Roman"/>
      <w:sz w:val="20"/>
      <w:szCs w:val="20"/>
    </w:rPr>
  </w:style>
  <w:style w:type="character" w:styleId="Hyperlink">
    <w:name w:val="Hyperlink"/>
    <w:basedOn w:val="DefaultParagraphFont"/>
    <w:uiPriority w:val="99"/>
    <w:unhideWhenUsed/>
    <w:rsid w:val="00235BC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775238">
      <w:bodyDiv w:val="1"/>
      <w:marLeft w:val="0"/>
      <w:marRight w:val="0"/>
      <w:marTop w:val="0"/>
      <w:marBottom w:val="0"/>
      <w:divBdr>
        <w:top w:val="none" w:sz="0" w:space="0" w:color="auto"/>
        <w:left w:val="none" w:sz="0" w:space="0" w:color="auto"/>
        <w:bottom w:val="none" w:sz="0" w:space="0" w:color="auto"/>
        <w:right w:val="none" w:sz="0" w:space="0" w:color="auto"/>
      </w:divBdr>
    </w:div>
    <w:div w:id="2045207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sfphil.org/vol-3/koparan-subversion-and-the-sapir-whorf-hypothesis/" TargetMode="External"/><Relationship Id="rId13"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jsfphil.org/vol-3/vinci-solving-the-contact-paradox/" TargetMode="External"/><Relationship Id="rId12" Type="http://schemas.openxmlformats.org/officeDocument/2006/relationships/hyperlink" Target="https://jsfphil.org/vol-3/v3-dune-and-philosophy-review"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jsfphil.org/vol-3/reviews-schneiders-sf-and-philosophy-2016/"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jsfphil.org/vol-3/v3-planet-of-the-apes-review" TargetMode="External"/><Relationship Id="rId4" Type="http://schemas.openxmlformats.org/officeDocument/2006/relationships/footnotes" Target="footnotes.xml"/><Relationship Id="rId9" Type="http://schemas.openxmlformats.org/officeDocument/2006/relationships/hyperlink" Target="https://jsfphil.org/vol-3/le-guins-science-fictional-feminist-daois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572</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Macs</dc:creator>
  <cp:keywords/>
  <dc:description/>
  <cp:lastModifiedBy>Macs</cp:lastModifiedBy>
  <cp:revision>4</cp:revision>
  <dcterms:created xsi:type="dcterms:W3CDTF">2023-06-26T22:36:00Z</dcterms:created>
  <dcterms:modified xsi:type="dcterms:W3CDTF">2023-06-29T03:53:00Z</dcterms:modified>
</cp:coreProperties>
</file>